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5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6226189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  <w:r/>
    </w:p>
    <w:p>
      <w:pPr>
        <w:pStyle w:val="1_635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  <w:r/>
    </w:p>
    <w:p>
      <w:pPr>
        <w:pStyle w:val="1_635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  <w:r/>
    </w:p>
    <w:p>
      <w:pPr>
        <w:pStyle w:val="1_635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  <w:r/>
    </w:p>
    <w:p>
      <w:pPr>
        <w:pStyle w:val="1_635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/>
      <w:r/>
    </w:p>
    <w:p>
      <w:pPr>
        <w:pStyle w:val="1_635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  <w:r/>
    </w:p>
    <w:p>
      <w:pPr>
        <w:pStyle w:val="1_635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  <w:r/>
    </w:p>
    <w:p>
      <w:pPr>
        <w:pStyle w:val="1_635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630-т</w:t>
      </w:r>
      <w:r/>
      <w:r/>
    </w:p>
    <w:p>
      <w:pPr>
        <w:pStyle w:val="1_636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0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cs="Liberation Sans"/>
          <w:b/>
          <w:bCs/>
          <w:sz w:val="27"/>
          <w:szCs w:val="27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акционерному обществу «Салехардэнерго» </w:t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тарифов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на водоотведение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для расчетов с потребителями муниципального образования город Салехард </w:t>
      </w:r>
      <w:r/>
    </w:p>
    <w:p>
      <w:pPr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и долгосрочных параметров регулирования тарифов </w:t>
      </w:r>
      <w:r/>
    </w:p>
    <w:p>
      <w:pPr>
        <w:jc w:val="center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– 2028 годы</w:t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br/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в сфере водоснабжения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br/>
        <w:t xml:space="preserve">и водоотведения», </w:t>
      </w:r>
      <w:hyperlink r:id="rId11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/>
          <w:sz w:val="28"/>
          <w:szCs w:val="28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bCs/>
          <w:color w:val="000000"/>
          <w:sz w:val="28"/>
          <w:szCs w:val="28"/>
        </w:rPr>
        <w:br/>
        <w:t xml:space="preserve">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</w:t>
      </w:r>
      <w:r>
        <w:rPr>
          <w:rFonts w:ascii="Liberation Sans" w:hAnsi="Liberation Sans" w:eastAsia="Liberation Serif" w:cs="Liberation Sans"/>
          <w:bCs/>
          <w:color w:val="000000"/>
          <w:sz w:val="28"/>
          <w:szCs w:val="28"/>
        </w:rPr>
        <w:t xml:space="preserve">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</w:t>
      </w:r>
      <w:r>
        <w:rPr>
          <w:rFonts w:ascii="Liberation Sans" w:hAnsi="Liberation Sans" w:eastAsia="Liberation Serif" w:cs="Liberation Sans"/>
          <w:bCs/>
          <w:color w:val="000000"/>
          <w:sz w:val="28"/>
          <w:szCs w:val="28"/>
        </w:rPr>
        <w:t xml:space="preserve">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комплекса»,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постановлением Правительства Ямало-Ненецкого автономного округа от 25 декабря 2013 года № 1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081-П «О департаменте тарифной политики, энергетики и жилищно-коммунального комплекса Ямало-Ненецкого автономного округа», </w:t>
      </w:r>
      <w:r>
        <w:rPr>
          <w:rFonts w:ascii="Liberation Sans" w:hAnsi="Liberation Sans" w:eastAsia="Liberation Serif" w:cs="Liberation Sans"/>
          <w:b/>
          <w:color w:val="000000"/>
          <w:sz w:val="28"/>
          <w:szCs w:val="28"/>
        </w:rPr>
        <w:t xml:space="preserve">п р и к а з ы в а ю:</w:t>
      </w:r>
      <w:r/>
    </w:p>
    <w:p>
      <w:pPr>
        <w:ind w:firstLine="708"/>
        <w:jc w:val="both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1. Установить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акционерному обществу «Салехардэнерго»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тарифы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на водоотведение для расчетов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с потребителями муниципального образования город Салехард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на 2024 – 2028 годы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согласно приложению № 1;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2. Установить </w:t>
      </w:r>
      <w:r>
        <w:rPr>
          <w:rFonts w:ascii="Liberation Sans" w:hAnsi="Liberation Sans" w:cs="Liberation Sans"/>
          <w:color w:val="000000"/>
          <w:sz w:val="28"/>
          <w:szCs w:val="28"/>
        </w:rPr>
        <w:t xml:space="preserve">акционерному обществу «Салехардэнерго»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долгосрочные </w:t>
      </w:r>
      <w:hyperlink r:id="rId12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ре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гулирования тарифов, определяемые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br/>
        <w:t xml:space="preserve">на долгосрочный период регулирования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при установлении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тарифов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br/>
        <w:t xml:space="preserve">с использованием метода индексации на 2024 - 2028 годы согласно приложению № 2</w:t>
      </w:r>
      <w:r>
        <w:rPr>
          <w:rFonts w:ascii="Liberation Sans" w:hAnsi="Liberation Sans" w:cs="Liberation Sans"/>
        </w:rPr>
        <w:t xml:space="preserve">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3. </w:t>
      </w:r>
      <w:hyperlink r:id="rId13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, установленные в пункте 1 настоящего приказа, действуют с 01 января 2024 года по 31 декабря 2028 года.</w:t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4. Долгосрочные </w:t>
      </w:r>
      <w:hyperlink r:id="rId14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регулирования тарифов, установленные в пункте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2 настоящего приказа, действуют с 01 января 2024 года по 31 декабря 2028 года.</w:t>
      </w:r>
      <w:r/>
    </w:p>
    <w:p>
      <w:pPr>
        <w:ind w:firstLine="540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p>
      <w:pPr>
        <w:rPr>
          <w:rFonts w:ascii="Liberation Sans" w:hAnsi="Liberation Sans" w:cs="Liberation Sans"/>
          <w:bCs/>
          <w:color w:val="000000"/>
          <w:sz w:val="28"/>
          <w:szCs w:val="28"/>
        </w:rPr>
      </w:pPr>
      <w:r>
        <w:rPr>
          <w:rFonts w:ascii="Liberation Sans" w:hAnsi="Liberation Sans" w:cs="Liberation Sans"/>
          <w:bCs/>
          <w:color w:val="000000"/>
          <w:sz w:val="28"/>
          <w:szCs w:val="28"/>
        </w:rPr>
      </w:r>
      <w:r/>
    </w:p>
    <w:p>
      <w:pPr>
        <w:rPr>
          <w:rFonts w:ascii="Liberation Sans" w:hAnsi="Liberation Sans" w:cs="Liberation Sans"/>
          <w:bCs/>
          <w:color w:val="000000"/>
          <w:sz w:val="28"/>
          <w:szCs w:val="28"/>
        </w:rPr>
      </w:pPr>
      <w:r>
        <w:rPr>
          <w:rFonts w:ascii="Liberation Sans" w:hAnsi="Liberation Sans" w:cs="Liberation Sans"/>
          <w:bCs/>
          <w:color w:val="000000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color w:val="000000"/>
        </w:rPr>
      </w:pPr>
      <w:r/>
      <w:bookmarkStart w:id="0" w:name="undefined"/>
      <w:r>
        <w:rPr>
          <w:rFonts w:ascii="Liberation Sans" w:hAnsi="Liberation Sans" w:eastAsia="Liberation Serif" w:cs="Liberation Sans"/>
          <w:bCs/>
          <w:color w:val="000000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тарифной </w:t>
      </w:r>
      <w:r/>
    </w:p>
    <w:p>
      <w:pPr>
        <w:ind w:left="-142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политики, энергетики </w:t>
      </w:r>
      <w:r/>
    </w:p>
    <w:p>
      <w:pPr>
        <w:ind w:left="-142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и жилищно-коммунального комплекса </w:t>
      </w:r>
      <w:r/>
    </w:p>
    <w:p>
      <w:pPr>
        <w:ind w:left="-142"/>
        <w:rPr>
          <w:rFonts w:ascii="Liberation Sans" w:hAnsi="Liberation Sans" w:cs="Liberation Sans"/>
          <w:color w:val="000000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/>
          <w:sz w:val="28"/>
          <w:szCs w:val="28"/>
        </w:rPr>
        <w:t xml:space="preserve"> 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/>
          <w:sz w:val="28"/>
          <w:szCs w:val="28"/>
        </w:rPr>
        <w:t xml:space="preserve">      Д.Н. Афанасьев</w:t>
      </w:r>
      <w:r/>
    </w:p>
    <w:p>
      <w:pPr>
        <w:ind w:left="10206"/>
        <w:rPr>
          <w:rFonts w:ascii="Liberation Sans" w:hAnsi="Liberation Sans" w:eastAsia="Liberation Serif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Приложение № 1</w:t>
      </w:r>
      <w:r/>
    </w:p>
    <w:p>
      <w:pPr>
        <w:ind w:left="10206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cs="Liberation Sans"/>
          <w:color w:val="000000"/>
          <w:sz w:val="24"/>
          <w:szCs w:val="24"/>
        </w:rPr>
      </w:r>
      <w:r/>
    </w:p>
    <w:p>
      <w:pPr>
        <w:ind w:left="10206"/>
        <w:rPr>
          <w:rFonts w:ascii="Liberation Sans" w:hAnsi="Liberation Sans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к приказу департамента тарифной политики, энергетики и жилищно-коммунального комплекса</w:t>
      </w:r>
      <w:r/>
    </w:p>
    <w:p>
      <w:pPr>
        <w:ind w:left="10206"/>
        <w:rPr>
          <w:rFonts w:ascii="Liberation Sans" w:hAnsi="Liberation Sans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Ямало-Ненецкого автономного округа </w:t>
      </w:r>
      <w:r/>
    </w:p>
    <w:p>
      <w:pPr>
        <w:ind w:left="10206"/>
        <w:rPr>
          <w:rFonts w:ascii="Liberation Sans" w:hAnsi="Liberation Sans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630-т</w:t>
      </w:r>
      <w:r/>
      <w:r>
        <w:rPr>
          <w:rFonts w:ascii="Liberation Sans" w:hAnsi="Liberation Sans" w:eastAsia="Liberation Serif" w:cs="Liberation Sans"/>
          <w:color w:val="000000"/>
          <w:sz w:val="24"/>
          <w:szCs w:val="26"/>
        </w:rPr>
      </w:r>
      <w:r/>
    </w:p>
    <w:p>
      <w:pPr>
        <w:rPr>
          <w:rFonts w:ascii="Liberation Sans" w:hAnsi="Liberation Sans" w:cs="Liberation Sans"/>
          <w:color w:val="000000"/>
        </w:rPr>
        <w:outlineLvl w:val="0"/>
      </w:pPr>
      <w:r>
        <w:rPr>
          <w:rFonts w:ascii="Liberation Sans" w:hAnsi="Liberation Sans" w:cs="Liberation Sans"/>
          <w:color w:val="000000"/>
        </w:rPr>
      </w:r>
      <w:r/>
    </w:p>
    <w:p>
      <w:pPr>
        <w:jc w:val="center"/>
        <w:rPr>
          <w:rFonts w:ascii="Liberation Sans" w:hAnsi="Liberation Sans" w:cs="Liberation San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Тарифы 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на водоотведение,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установленные 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акционерному обществу «Салехардэнерго» для расчетов </w:t>
      </w:r>
      <w:r/>
    </w:p>
    <w:p>
      <w:pPr>
        <w:jc w:val="center"/>
        <w:rPr>
          <w:rFonts w:ascii="Liberation Sans" w:hAnsi="Liberation Sans" w:cs="Liberation San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sz w:val="24"/>
          <w:szCs w:val="24"/>
        </w:rPr>
        <w:t xml:space="preserve">с потребителями муниципального образования город Салехард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на 2024 – 2028 годы</w:t>
      </w:r>
      <w:r/>
    </w:p>
    <w:p>
      <w:pPr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sz w:val="24"/>
        </w:rPr>
        <w:t xml:space="preserve">I. Тариф на водоотведение</w:t>
      </w:r>
      <w:r/>
    </w:p>
    <w:p>
      <w:pPr>
        <w:jc w:val="righ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  <w:t xml:space="preserve">Таблица </w:t>
      </w:r>
      <w:r>
        <w:rPr>
          <w:rFonts w:ascii="Liberation Sans" w:hAnsi="Liberation Sans" w:cs="Liberation Sans"/>
          <w:sz w:val="24"/>
          <w:szCs w:val="24"/>
        </w:rPr>
        <w:t xml:space="preserve">1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br/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услуги систем водоотведения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Тариф на водоотведение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</w:t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Иные потребители,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225,30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255,44</w:t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255,44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287,31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287,31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323,15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none"/>
              </w:rPr>
              <w:t xml:space="preserve">323,15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363,47</w:t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363,47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408,82</w:t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Потребители, имеющие право на льготные тарифы </w:t>
            </w:r>
            <w:hyperlink r:id="rId15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руб./м3 (без НДС)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64,82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67,86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 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01.07.2026 по 31.12.2026 – 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01.07.2027 по 31.12.2027 – 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01.01.2028 по 30.06.2028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01.07.2028 по 31.12.2028 – </w:t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Население </w:t>
            </w:r>
            <w:hyperlink r:id="rId16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(включая НДС) </w:t>
            </w:r>
            <w:hyperlink r:id="rId17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</w:rPr>
                <w:t xml:space="preserve">&lt;***&gt; </w:t>
              </w:r>
            </w:hyperlink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77,78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81,43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01.01.2025 по 30.06.2025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01.07.2025 по 31.12.2025 – 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01.01.2026 по 30.06.2026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01.07.2026 по 31.12.2026 – 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01.01.2027 по 30.06.2027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01.07.2027 по 31.12.2027 – </w:t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01.01.2028 по 30.06.2028 – </w:t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01.07.2028 по 31.12.2028 – </w:t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/>
        </w:rPr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/>
        </w:rPr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/>
        </w:rPr>
      </w:r>
      <w:r/>
    </w:p>
    <w:p>
      <w:pPr>
        <w:jc w:val="center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sz w:val="24"/>
          <w:lang w:val="en-US"/>
        </w:rPr>
        <w:t xml:space="preserve">I</w:t>
      </w:r>
      <w:r>
        <w:rPr>
          <w:rFonts w:ascii="Liberation Sans" w:hAnsi="Liberation Sans" w:cs="Liberation Sans"/>
          <w:color w:val="000000"/>
          <w:sz w:val="24"/>
        </w:rPr>
        <w:t xml:space="preserve">I. </w:t>
      </w:r>
      <w:r>
        <w:rPr>
          <w:rFonts w:ascii="Liberation Sans" w:hAnsi="Liberation Sans" w:cs="Liberation Sans"/>
          <w:color w:val="000000"/>
          <w:sz w:val="24"/>
        </w:rPr>
        <w:t xml:space="preserve">Очистка</w:t>
      </w:r>
      <w:r>
        <w:rPr>
          <w:rFonts w:ascii="Liberation Sans" w:hAnsi="Liberation Sans" w:cs="Liberation Sans"/>
          <w:color w:val="000000"/>
          <w:sz w:val="24"/>
        </w:rPr>
        <w:t xml:space="preserve"> сточных вод</w:t>
      </w:r>
      <w:r/>
    </w:p>
    <w:p>
      <w:pPr>
        <w:jc w:val="righ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</w:rPr>
        <w:t xml:space="preserve">Таблица </w:t>
      </w:r>
      <w:r>
        <w:rPr>
          <w:rFonts w:ascii="Liberation Sans" w:hAnsi="Liberation Sans" w:cs="Liberation Sans"/>
          <w:sz w:val="24"/>
          <w:szCs w:val="24"/>
        </w:rPr>
        <w:t xml:space="preserve">2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br/>
              <w:t xml:space="preserve">услуги систем водоотведения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(очистка сточных вод)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Тариф на водоотведение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(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  <w:t xml:space="preserve">очистка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  <w:t xml:space="preserve"> сточных вод)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</w:t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Иные потребители,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126,58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37,50</w:t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37,50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37,50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37,50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7,50</w:t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01.01.2027 по 30.06.2027 – 13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7,50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137,50</w:t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37,50</w:t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37,50</w:t>
            </w:r>
            <w:r/>
          </w:p>
        </w:tc>
      </w:tr>
    </w:tbl>
    <w:p>
      <w:pPr>
        <w:ind w:firstLine="540"/>
        <w:jc w:val="both"/>
        <w:rPr>
          <w:rFonts w:ascii="Liberation Sans" w:hAnsi="Liberation Sans" w:eastAsia="Liberation Serif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/>
        </w:rPr>
        <w:t xml:space="preserve">&lt;*&gt; </w:t>
      </w:r>
      <w:r>
        <w:rPr>
          <w:rFonts w:ascii="Liberation Sans" w:hAnsi="Liberation Sans" w:eastAsia="Liberation Serif" w:cs="Liberation Sans"/>
          <w:color w:val="000000"/>
        </w:rPr>
        <w:t xml:space="preserve">Потребители, имеющие право на льготные тарифы в сфере водоотведения, указанные в пунктах 2 - 4</w:t>
      </w:r>
      <w:hyperlink r:id="rId18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</w:t>
      </w:r>
      <w:r>
        <w:rPr>
          <w:rFonts w:ascii="Liberation Sans" w:hAnsi="Liberation Sans" w:eastAsia="Liberation Serif" w:cs="Liberation Sans"/>
          <w:color w:val="000000"/>
        </w:rPr>
        <w:t xml:space="preserve">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</w:t>
      </w:r>
      <w:r>
        <w:rPr>
          <w:rFonts w:ascii="Liberation Sans" w:hAnsi="Liberation Sans" w:eastAsia="Liberation Serif" w:cs="Liberation Sans"/>
          <w:color w:val="000000"/>
        </w:rPr>
        <w:t xml:space="preserve">уществления органами местного самоуправления </w:t>
      </w:r>
      <w:r>
        <w:rPr>
          <w:rFonts w:ascii="Liberation Sans" w:hAnsi="Liberation Sans" w:eastAsia="Liberation Serif" w:cs="Liberation Sans"/>
          <w:color w:val="000000"/>
        </w:rPr>
        <w:t xml:space="preserve">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</w:t>
      </w:r>
      <w:r>
        <w:rPr>
          <w:rFonts w:ascii="Liberation Sans" w:hAnsi="Liberation Sans" w:eastAsia="Liberation Serif" w:cs="Liberation Sans"/>
          <w:color w:val="000000"/>
        </w:rPr>
        <w:t xml:space="preserve">унального комплекса».</w:t>
      </w:r>
      <w:r/>
    </w:p>
    <w:p>
      <w:pPr>
        <w:ind w:firstLine="540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/>
        </w:rPr>
        <w:t xml:space="preserve">&lt;**&gt; Потребители, имеющие право на льготные тарифы в сфере водоотведения, указанные в </w:t>
      </w:r>
      <w:hyperlink r:id="rId19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color w:val="000000"/>
        </w:rPr>
        <w:t xml:space="preserve"> Закона Ямало-Ненецкого автономного округа от 01 декабря 2014 года № 107-ЗАО «Об установлении отдельных категорий по</w:t>
      </w:r>
      <w:r>
        <w:rPr>
          <w:rFonts w:ascii="Liberation Sans" w:hAnsi="Liberation Sans" w:eastAsia="Liberation Serif" w:cs="Liberation Sans"/>
          <w:color w:val="000000"/>
        </w:rPr>
        <w:t xml:space="preserve">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коммунальными от</w:t>
      </w:r>
      <w:r>
        <w:rPr>
          <w:rFonts w:ascii="Liberation Sans" w:hAnsi="Liberation Sans" w:eastAsia="Liberation Serif" w:cs="Liberation Sans"/>
          <w:color w:val="000000"/>
        </w:rPr>
        <w:t xml:space="preserve">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</w:t>
      </w:r>
      <w:r>
        <w:rPr>
          <w:rFonts w:ascii="Liberation Sans" w:hAnsi="Liberation Sans" w:eastAsia="Liberation Serif" w:cs="Liberation Sans"/>
          <w:color w:val="000000"/>
        </w:rPr>
        <w:t xml:space="preserve">ходов организациям коммунального комплекса». </w:t>
      </w:r>
      <w:r/>
    </w:p>
    <w:p>
      <w:pPr>
        <w:ind w:firstLine="540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/>
        </w:rPr>
        <w:t xml:space="preserve">&lt;***&gt; Выделяется в целях реализации </w:t>
      </w:r>
      <w:hyperlink r:id="rId20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/>
        </w:rPr>
        <w:t xml:space="preserve"> Налогового кодекса Российской Федерации (часть вторая).     </w:t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Приложение № 2</w:t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cs="Liberation Sans"/>
          <w:color w:val="000000"/>
          <w:sz w:val="24"/>
          <w:szCs w:val="24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к приказу департамента тарифной политики, энергетики и жилищно-коммунального комплекса</w:t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Ямало-Ненецкого автономного округа </w:t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630-т</w:t>
      </w:r>
      <w:r/>
      <w:r>
        <w:rPr>
          <w:rFonts w:ascii="Liberation Sans" w:hAnsi="Liberation Sans" w:eastAsia="Liberation Serif" w:cs="Liberation Sans"/>
          <w:color w:val="000000"/>
          <w:sz w:val="24"/>
          <w:szCs w:val="26"/>
        </w:rPr>
      </w:r>
      <w:r/>
    </w:p>
    <w:p>
      <w:pPr>
        <w:rPr>
          <w:rFonts w:ascii="Liberation Sans" w:hAnsi="Liberation Sans" w:cs="Liberation Sans"/>
          <w:color w:val="000000"/>
          <w:sz w:val="28"/>
          <w:szCs w:val="28"/>
        </w:rPr>
        <w:outlineLvl w:val="0"/>
      </w:pP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p>
      <w:pPr>
        <w:jc w:val="center"/>
        <w:rPr>
          <w:rFonts w:ascii="Liberation Sans" w:hAnsi="Liberation Sans" w:eastAsia="Liberation Serif" w:cs="Liberation San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sz w:val="24"/>
          <w:szCs w:val="24"/>
        </w:rPr>
        <w:t xml:space="preserve">Д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олгосрочные </w:t>
      </w:r>
      <w:hyperlink r:id="rId21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/>
            <w:sz w:val="24"/>
            <w:szCs w:val="24"/>
          </w:rPr>
          <w:t xml:space="preserve">пар</w:t>
        </w:r>
        <w:r>
          <w:rPr>
            <w:rFonts w:ascii="Liberation Sans" w:hAnsi="Liberation Sans" w:eastAsia="Liberation Serif" w:cs="Liberation Sans"/>
            <w:color w:val="000000"/>
            <w:sz w:val="24"/>
            <w:szCs w:val="24"/>
          </w:rPr>
          <w:t xml:space="preserve">аметры</w:t>
        </w:r>
      </w:hyperlink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 регулирования тарифов, определяемые на долгосрочный период регулирования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 при установлении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тарифов с использованием метода индексации 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акционерному обществу акционерному обществу «Салехардэнерго»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 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на 2024 - 2028 годы</w:t>
      </w:r>
      <w:r/>
    </w:p>
    <w:p>
      <w:pPr>
        <w:jc w:val="center"/>
        <w:rPr>
          <w:rFonts w:ascii="Liberation Sans" w:hAnsi="Liberation Sans" w:cs="Liberation San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sz w:val="24"/>
          <w:szCs w:val="24"/>
        </w:rPr>
        <w:t xml:space="preserve">Таблица 1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7"/>
        <w:gridCol w:w="2434"/>
        <w:gridCol w:w="1109"/>
        <w:gridCol w:w="2117"/>
        <w:gridCol w:w="2094"/>
        <w:gridCol w:w="1899"/>
        <w:gridCol w:w="2477"/>
        <w:gridCol w:w="2480"/>
      </w:tblGrid>
      <w:tr>
        <w:trPr>
          <w:cantSplit/>
          <w:trHeight w:val="225"/>
        </w:trPr>
        <w:tc>
          <w:tcPr>
            <w:tcW w:w="6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№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п/п</w:t>
            </w:r>
            <w:r/>
          </w:p>
        </w:tc>
        <w:tc>
          <w:tcPr>
            <w:tcW w:w="24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Наименование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регулируемой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организации</w:t>
            </w:r>
            <w:r/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/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Базовый уровень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операционных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расходов,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тыс.руб.</w:t>
            </w:r>
            <w:r/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Индекс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эффективности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операционных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расходов, %</w:t>
            </w:r>
            <w:r/>
          </w:p>
        </w:tc>
        <w:tc>
          <w:tcPr>
            <w:tcW w:w="18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Нормативный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уровень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прибыли, %</w:t>
            </w:r>
            <w:r/>
          </w:p>
        </w:tc>
        <w:tc>
          <w:tcPr>
            <w:gridSpan w:val="2"/>
            <w:tcW w:w="495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Показатели энергосбережения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энергетической эффективности </w:t>
            </w:r>
            <w:r/>
          </w:p>
        </w:tc>
      </w:tr>
      <w:tr>
        <w:trPr>
          <w:cantSplit/>
          <w:trHeight w:val="569"/>
        </w:trPr>
        <w:tc>
          <w:tcPr>
            <w:tcW w:w="60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уровень потерь воды, 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%</w:t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удельный расход электрической энергии, </w:t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кВт*ч/м3</w:t>
            </w:r>
            <w:r/>
          </w:p>
        </w:tc>
      </w:tr>
      <w:tr>
        <w:trPr>
          <w:trHeight w:val="144"/>
        </w:trPr>
        <w:tc>
          <w:tcPr>
            <w:tcW w:w="6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</w:t>
            </w:r>
            <w:r/>
          </w:p>
        </w:tc>
        <w:tc>
          <w:tcPr>
            <w:tcW w:w="24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</w:t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</w:t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</w:t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5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6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7</w:t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8</w:t>
            </w:r>
            <w:r/>
          </w:p>
        </w:tc>
      </w:tr>
      <w:tr>
        <w:trPr>
          <w:cantSplit/>
          <w:trHeight w:val="394"/>
        </w:trPr>
        <w:tc>
          <w:tcPr>
            <w:gridSpan w:val="8"/>
            <w:tcW w:w="152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ВОДООТВЕДЕНИЕ</w:t>
            </w:r>
            <w:r/>
          </w:p>
        </w:tc>
      </w:tr>
      <w:tr>
        <w:trPr>
          <w:cantSplit/>
          <w:trHeight w:val="687"/>
        </w:trPr>
        <w:tc>
          <w:tcPr>
            <w:tcW w:w="6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1.</w:t>
            </w:r>
            <w:r/>
          </w:p>
        </w:tc>
        <w:tc>
          <w:tcPr>
            <w:tcW w:w="24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Акционерное общество «Салехардэнерго»</w:t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</w:rPr>
              <w:t xml:space="preserve">295 191,53</w:t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2,73</w:t>
            </w:r>
            <w:r/>
          </w:p>
        </w:tc>
      </w:tr>
      <w:tr>
        <w:trPr>
          <w:cantSplit/>
          <w:trHeight w:val="549"/>
        </w:trPr>
        <w:tc>
          <w:tcPr>
            <w:tcW w:w="60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2,73</w:t>
            </w:r>
            <w:r/>
          </w:p>
        </w:tc>
      </w:tr>
      <w:tr>
        <w:trPr>
          <w:trHeight w:val="549"/>
        </w:trPr>
        <w:tc>
          <w:tcPr>
            <w:tcW w:w="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2026</w:t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2,73</w:t>
            </w:r>
            <w:r/>
          </w:p>
        </w:tc>
      </w:tr>
      <w:tr>
        <w:trPr>
          <w:trHeight w:val="549"/>
        </w:trPr>
        <w:tc>
          <w:tcPr>
            <w:tcW w:w="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2027</w:t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2,73</w:t>
            </w:r>
            <w:r/>
          </w:p>
        </w:tc>
      </w:tr>
      <w:tr>
        <w:trPr>
          <w:trHeight w:val="549"/>
        </w:trPr>
        <w:tc>
          <w:tcPr>
            <w:tcW w:w="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2028</w:t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2,73</w:t>
            </w:r>
            <w:r/>
          </w:p>
        </w:tc>
      </w:tr>
      <w:tr>
        <w:trPr>
          <w:trHeight w:val="488"/>
        </w:trPr>
        <w:tc>
          <w:tcPr>
            <w:gridSpan w:val="8"/>
            <w:tcW w:w="152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ОЧИСТКА СТОЧНЫХ ВОД</w:t>
            </w:r>
            <w:r/>
          </w:p>
        </w:tc>
      </w:tr>
      <w:tr>
        <w:trPr>
          <w:trHeight w:val="549"/>
        </w:trPr>
        <w:tc>
          <w:tcPr>
            <w:tcW w:w="60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2.</w:t>
            </w:r>
            <w:r/>
          </w:p>
        </w:tc>
        <w:tc>
          <w:tcPr>
            <w:tcW w:w="24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Акционерное общество «Салехардэнерго»</w:t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56 792,44</w:t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2,35</w:t>
            </w:r>
            <w:r/>
          </w:p>
        </w:tc>
      </w:tr>
      <w:tr>
        <w:trPr>
          <w:trHeight w:val="549"/>
        </w:trPr>
        <w:tc>
          <w:tcPr>
            <w:tcW w:w="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2,35</w:t>
            </w:r>
            <w:r/>
          </w:p>
        </w:tc>
      </w:tr>
      <w:tr>
        <w:trPr>
          <w:trHeight w:val="549"/>
        </w:trPr>
        <w:tc>
          <w:tcPr>
            <w:tcW w:w="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2026</w:t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2,35</w:t>
            </w:r>
            <w:r/>
          </w:p>
        </w:tc>
      </w:tr>
      <w:tr>
        <w:trPr>
          <w:trHeight w:val="549"/>
        </w:trPr>
        <w:tc>
          <w:tcPr>
            <w:tcW w:w="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2027</w:t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2,35</w:t>
            </w:r>
            <w:r/>
          </w:p>
        </w:tc>
      </w:tr>
      <w:tr>
        <w:trPr>
          <w:trHeight w:val="549"/>
        </w:trPr>
        <w:tc>
          <w:tcPr>
            <w:tcW w:w="60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2028</w:t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-</w:t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2,35</w:t>
            </w:r>
            <w:r/>
          </w:p>
        </w:tc>
      </w:tr>
    </w:tbl>
    <w:p>
      <w:pPr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/>
        </w:rPr>
      </w:r>
      <w:r/>
    </w:p>
    <w:sectPr>
      <w:footnotePr/>
      <w:endnotePr/>
      <w:type w:val="nextPage"/>
      <w:pgSz w:w="16838" w:h="11906" w:orient="landscape"/>
      <w:pgMar w:top="1276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88fce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 w:default="1">
    <w:name w:val="Normal"/>
    <w:qFormat/>
    <w:rPr>
      <w:lang w:eastAsia="zh-CN"/>
    </w:rPr>
  </w:style>
  <w:style w:type="paragraph" w:styleId="645">
    <w:name w:val="Heading 1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46">
    <w:name w:val="Heading 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47">
    <w:name w:val="Heading 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48">
    <w:name w:val="Heading 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49">
    <w:name w:val="Heading 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50">
    <w:name w:val="Heading 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51">
    <w:name w:val="Heading 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52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53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character" w:styleId="65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58" w:customStyle="1">
    <w:name w:val="Heading 2 Char"/>
    <w:uiPriority w:val="9"/>
    <w:rPr>
      <w:rFonts w:ascii="Arial" w:hAnsi="Arial" w:eastAsia="Arial" w:cs="Arial"/>
      <w:sz w:val="34"/>
    </w:rPr>
  </w:style>
  <w:style w:type="character" w:styleId="65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6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6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6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6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6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666" w:customStyle="1">
    <w:name w:val="Title Char"/>
    <w:uiPriority w:val="10"/>
    <w:rPr>
      <w:sz w:val="48"/>
      <w:szCs w:val="48"/>
    </w:rPr>
  </w:style>
  <w:style w:type="character" w:styleId="667" w:customStyle="1">
    <w:name w:val="Subtitle Char"/>
    <w:uiPriority w:val="11"/>
    <w:rPr>
      <w:sz w:val="24"/>
      <w:szCs w:val="24"/>
    </w:rPr>
  </w:style>
  <w:style w:type="character" w:styleId="668" w:customStyle="1">
    <w:name w:val="Quote Char"/>
    <w:uiPriority w:val="29"/>
    <w:rPr>
      <w:i/>
    </w:rPr>
  </w:style>
  <w:style w:type="character" w:styleId="669" w:customStyle="1">
    <w:name w:val="Intense Quote Char"/>
    <w:uiPriority w:val="30"/>
    <w:rPr>
      <w:i/>
    </w:rPr>
  </w:style>
  <w:style w:type="character" w:styleId="670" w:customStyle="1">
    <w:name w:val="Footnote Text Char"/>
    <w:uiPriority w:val="99"/>
    <w:rPr>
      <w:sz w:val="18"/>
    </w:rPr>
  </w:style>
  <w:style w:type="character" w:styleId="671" w:customStyle="1">
    <w:name w:val="Endnote Text Char"/>
    <w:uiPriority w:val="99"/>
    <w:rPr>
      <w:sz w:val="20"/>
    </w:rPr>
  </w:style>
  <w:style w:type="character" w:styleId="672" w:customStyle="1">
    <w:name w:val="Заголовок 1 Знак"/>
    <w:link w:val="645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46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47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48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49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50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52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4" w:customStyle="1">
    <w:name w:val="Заголовок Знак"/>
    <w:link w:val="683"/>
    <w:uiPriority w:val="10"/>
    <w:rPr>
      <w:sz w:val="48"/>
      <w:szCs w:val="48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44"/>
    <w:link w:val="8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2" w:customStyle="1">
    <w:name w:val="Header Char"/>
    <w:uiPriority w:val="99"/>
  </w:style>
  <w:style w:type="paragraph" w:styleId="693">
    <w:name w:val="Footer"/>
    <w:basedOn w:val="644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Footer Char"/>
    <w:uiPriority w:val="99"/>
  </w:style>
  <w:style w:type="paragraph" w:styleId="69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uiPriority w:val="99"/>
  </w:style>
  <w:style w:type="table" w:styleId="697">
    <w:name w:val="Table Grid"/>
    <w:basedOn w:val="655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  <w:lang w:eastAsia="zh-CN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link w:val="850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 w:customStyle="1">
    <w:name w:val="Знак Знак Знак Знак"/>
    <w:basedOn w:val="644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2" w:customStyle="1">
    <w:name w:val="ConsPlusNormal"/>
    <w:pPr>
      <w:ind w:firstLine="720"/>
    </w:pPr>
    <w:rPr>
      <w:rFonts w:ascii="Arial" w:hAnsi="Arial"/>
    </w:rPr>
  </w:style>
  <w:style w:type="paragraph" w:styleId="843" w:customStyle="1">
    <w:name w:val="ConsPlusCell"/>
    <w:pPr>
      <w:widowControl w:val="off"/>
    </w:pPr>
    <w:rPr>
      <w:rFonts w:ascii="Arial" w:hAnsi="Arial"/>
    </w:rPr>
  </w:style>
  <w:style w:type="paragraph" w:styleId="844">
    <w:name w:val="Body Text Indent 2"/>
    <w:basedOn w:val="644"/>
    <w:link w:val="846"/>
    <w:pPr>
      <w:ind w:firstLine="720"/>
      <w:jc w:val="both"/>
    </w:pPr>
    <w:rPr>
      <w:sz w:val="28"/>
      <w:lang w:val="en-US" w:eastAsia="en-US"/>
    </w:rPr>
  </w:style>
  <w:style w:type="paragraph" w:styleId="845" w:customStyle="1">
    <w:name w:val="ConsPlusNonformat"/>
    <w:rPr>
      <w:rFonts w:ascii="Courier New" w:hAnsi="Courier New"/>
    </w:rPr>
  </w:style>
  <w:style w:type="character" w:styleId="846" w:customStyle="1">
    <w:name w:val="Основной текст с отступом 2 Знак"/>
    <w:link w:val="844"/>
    <w:rPr>
      <w:sz w:val="28"/>
      <w:szCs w:val="24"/>
    </w:rPr>
  </w:style>
  <w:style w:type="character" w:styleId="847" w:customStyle="1">
    <w:name w:val="Верхний колонтитул Знак"/>
    <w:link w:val="691"/>
    <w:rPr>
      <w:sz w:val="24"/>
      <w:szCs w:val="24"/>
    </w:rPr>
  </w:style>
  <w:style w:type="character" w:styleId="848" w:customStyle="1">
    <w:name w:val="Нижний колонтитул Знак"/>
    <w:link w:val="693"/>
    <w:rPr>
      <w:sz w:val="24"/>
      <w:szCs w:val="24"/>
    </w:rPr>
  </w:style>
  <w:style w:type="paragraph" w:styleId="849" w:customStyle="1">
    <w:name w:val="ConsPlusTitle"/>
    <w:pPr>
      <w:widowControl w:val="off"/>
    </w:pPr>
    <w:rPr>
      <w:b/>
      <w:bCs/>
      <w:sz w:val="24"/>
      <w:szCs w:val="24"/>
    </w:rPr>
  </w:style>
  <w:style w:type="paragraph" w:styleId="850" w:customStyle="1">
    <w:name w:val="Обычный1"/>
    <w:link w:val="82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851" w:customStyle="1">
    <w:name w:val="Заголовок оглавления Знак"/>
    <w:basedOn w:val="850"/>
    <w:next w:val="837"/>
    <w:pPr>
      <w:ind w:firstLine="720"/>
      <w:jc w:val="both"/>
    </w:pPr>
    <w:rPr>
      <w:sz w:val="28"/>
      <w:lang w:val="en-US" w:eastAsia="en-US"/>
    </w:rPr>
  </w:style>
  <w:style w:type="paragraph" w:styleId="1_635" w:customStyle="1">
    <w:name w:val="Обычный"/>
    <w:next w:val="829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6" w:customStyle="1">
    <w:name w:val="Основной текст с отступом 2"/>
    <w:basedOn w:val="1_635"/>
    <w:next w:val="837"/>
    <w:link w:val="839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21FAF34727E4E93BD845608C84F88EE5A2D220B235018A31618DB5B4205409AF2C61E" TargetMode="External"/><Relationship Id="rId12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3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4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5" Type="http://schemas.openxmlformats.org/officeDocument/2006/relationships/hyperlink" Target="consultantplus://offline/ref=30AE12744AACC646BD4A127E9A00FA26F3F5D77ABA9B9249DE8065AAD0E7560D85AC42817DBE367E208644GEEAF" TargetMode="External"/><Relationship Id="rId16" Type="http://schemas.openxmlformats.org/officeDocument/2006/relationships/hyperlink" Target="consultantplus://offline/ref=E2D39A4F09B56413B3EC0001D0709032262D2B4CB0535EAD3A2383E493BF8F76C45AD369E8E1994C547488p5EDF" TargetMode="External"/><Relationship Id="rId17" Type="http://schemas.openxmlformats.org/officeDocument/2006/relationships/hyperlink" Target="consultantplus://offline/ref=E2D39A4F09B56413B3EC0001D0709032262D2B4CB0535EAD3A2383E493BF8F76C45AD369E8E1994C547488p5ECF" TargetMode="External"/><Relationship Id="rId18" Type="http://schemas.openxmlformats.org/officeDocument/2006/relationships/hyperlink" Target="consultantplus://offline/ref=BC4FDCB53AB2EC8B14B6B3AE8120CF99E618AD28C81A94C69A1C057EC095CEE9BB73B2CF9B88F0D7DA4765HEQ0F" TargetMode="External"/><Relationship Id="rId19" Type="http://schemas.openxmlformats.org/officeDocument/2006/relationships/hyperlink" Target="consultantplus://offline/ref=BC4FDCB53AB2EC8B14B6B3AE8120CF99E618AD28C81A94C69A1C057EC095CEE9BB73B2CF9B88F0D7DA4765HEQFF" TargetMode="External"/><Relationship Id="rId20" Type="http://schemas.openxmlformats.org/officeDocument/2006/relationships/hyperlink" Target="consultantplus://offline/ref=BC4FDCB53AB2EC8B14B6ADA3974C9894E114F221CB1B9993C6435E23979CC4BEFC3CEB8DDF85F5D1HDQDF" TargetMode="External"/><Relationship Id="rId21" Type="http://schemas.openxmlformats.org/officeDocument/2006/relationships/hyperlink" Target="consultantplus://offline/ref=AB0A23BB009D875F70E278ABA137D1EAE0914661EA7CA7DC4DA00334547CA36DC21A434CDEABBAAE3F967C0F0E7E283638FF83CB8743443A5A96156Dj8w6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40</cp:revision>
  <dcterms:created xsi:type="dcterms:W3CDTF">2022-10-31T11:46:00Z</dcterms:created>
  <dcterms:modified xsi:type="dcterms:W3CDTF">2023-12-17T10:13:06Z</dcterms:modified>
</cp:coreProperties>
</file>